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F5" w:rsidRDefault="00ED55F5" w:rsidP="00ED55F5">
      <w:pPr>
        <w:pStyle w:val="CLLObodytext"/>
        <w:spacing w:before="0" w:after="0"/>
      </w:pPr>
      <w:bookmarkStart w:id="0" w:name="_GoBack"/>
      <w:bookmarkEnd w:id="0"/>
    </w:p>
    <w:p w:rsidR="006A529B" w:rsidRPr="0032027A" w:rsidRDefault="006A529B" w:rsidP="006A529B">
      <w:pPr>
        <w:pStyle w:val="CLLObodytext"/>
        <w:numPr>
          <w:ilvl w:val="0"/>
          <w:numId w:val="3"/>
        </w:numPr>
        <w:spacing w:before="0" w:after="240"/>
        <w:ind w:left="357" w:hanging="357"/>
        <w:rPr>
          <w:rFonts w:ascii="Arial" w:hAnsi="Arial" w:cs="Arial"/>
          <w:sz w:val="22"/>
          <w:szCs w:val="22"/>
        </w:rPr>
      </w:pPr>
      <w:r w:rsidRPr="0032027A">
        <w:rPr>
          <w:rFonts w:ascii="Arial" w:hAnsi="Arial" w:cs="Arial"/>
          <w:sz w:val="22"/>
          <w:szCs w:val="22"/>
        </w:rPr>
        <w:t xml:space="preserve">In recent years the resources sector in </w:t>
      </w:r>
      <w:smartTag w:uri="urn:schemas-microsoft-com:office:smarttags" w:element="State">
        <w:smartTag w:uri="urn:schemas-microsoft-com:office:smarttags" w:element="place">
          <w:r w:rsidRPr="0032027A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32027A">
        <w:rPr>
          <w:rFonts w:ascii="Arial" w:hAnsi="Arial" w:cs="Arial"/>
          <w:sz w:val="22"/>
          <w:szCs w:val="22"/>
        </w:rPr>
        <w:t xml:space="preserve"> has experienced exponential growth.  </w:t>
      </w:r>
      <w:r w:rsidR="00B0512F" w:rsidRPr="0032027A">
        <w:rPr>
          <w:rFonts w:ascii="Arial" w:hAnsi="Arial" w:cs="Arial"/>
          <w:sz w:val="22"/>
          <w:szCs w:val="22"/>
        </w:rPr>
        <w:t>For example, t</w:t>
      </w:r>
      <w:r w:rsidRPr="0032027A">
        <w:rPr>
          <w:rFonts w:ascii="Arial" w:hAnsi="Arial" w:cs="Arial"/>
          <w:sz w:val="22"/>
          <w:szCs w:val="22"/>
        </w:rPr>
        <w:t xml:space="preserve">he total area covered by </w:t>
      </w:r>
      <w:r w:rsidR="00B0512F" w:rsidRPr="0032027A">
        <w:rPr>
          <w:rFonts w:ascii="Arial" w:hAnsi="Arial" w:cs="Arial"/>
          <w:sz w:val="22"/>
          <w:szCs w:val="22"/>
        </w:rPr>
        <w:t xml:space="preserve">granted </w:t>
      </w:r>
      <w:r w:rsidRPr="0032027A">
        <w:rPr>
          <w:rFonts w:ascii="Arial" w:hAnsi="Arial" w:cs="Arial"/>
          <w:sz w:val="22"/>
          <w:szCs w:val="22"/>
        </w:rPr>
        <w:t xml:space="preserve">exploration permits (EPs) in </w:t>
      </w:r>
      <w:smartTag w:uri="urn:schemas-microsoft-com:office:smarttags" w:element="State">
        <w:smartTag w:uri="urn:schemas-microsoft-com:office:smarttags" w:element="place">
          <w:r w:rsidRPr="0032027A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32027A">
        <w:rPr>
          <w:rFonts w:ascii="Arial" w:hAnsi="Arial" w:cs="Arial"/>
          <w:sz w:val="22"/>
          <w:szCs w:val="22"/>
        </w:rPr>
        <w:t xml:space="preserve"> is now 21.2 per cent, compared with 2.2 per cent in 2005.  A number of State Government policies have recently been introduced to minimise growing concerns about land use conflict (e.g. the Land Access Code and the </w:t>
      </w:r>
      <w:r w:rsidRPr="0032027A">
        <w:rPr>
          <w:rFonts w:ascii="Arial" w:hAnsi="Arial" w:cs="Arial"/>
          <w:i/>
          <w:sz w:val="22"/>
          <w:szCs w:val="22"/>
        </w:rPr>
        <w:t>Strategic Cropping Land Policy</w:t>
      </w:r>
      <w:r w:rsidRPr="0032027A">
        <w:rPr>
          <w:rFonts w:ascii="Arial" w:hAnsi="Arial" w:cs="Arial"/>
          <w:sz w:val="22"/>
          <w:szCs w:val="22"/>
        </w:rPr>
        <w:t xml:space="preserve"> both primarily targeting the interaction between agriculture and mining activities).  There remains a gap in respect to the exploration-urban interface.</w:t>
      </w:r>
    </w:p>
    <w:p w:rsidR="006A529B" w:rsidRPr="0032027A" w:rsidRDefault="00B0512F" w:rsidP="006A529B">
      <w:pPr>
        <w:pStyle w:val="CLLObodytext"/>
        <w:numPr>
          <w:ilvl w:val="0"/>
          <w:numId w:val="3"/>
        </w:numPr>
        <w:spacing w:before="0" w:after="240"/>
        <w:ind w:left="357" w:hanging="357"/>
        <w:rPr>
          <w:rFonts w:ascii="Arial" w:hAnsi="Arial" w:cs="Arial"/>
          <w:sz w:val="22"/>
          <w:szCs w:val="22"/>
        </w:rPr>
      </w:pPr>
      <w:r w:rsidRPr="0032027A">
        <w:rPr>
          <w:rFonts w:ascii="Arial" w:hAnsi="Arial" w:cs="Arial"/>
          <w:sz w:val="22"/>
          <w:szCs w:val="22"/>
        </w:rPr>
        <w:t>To address thi</w:t>
      </w:r>
      <w:r w:rsidR="006A529B" w:rsidRPr="0032027A">
        <w:rPr>
          <w:rFonts w:ascii="Arial" w:hAnsi="Arial" w:cs="Arial"/>
          <w:sz w:val="22"/>
          <w:szCs w:val="22"/>
        </w:rPr>
        <w:t>s</w:t>
      </w:r>
      <w:r w:rsidRPr="0032027A">
        <w:rPr>
          <w:rFonts w:ascii="Arial" w:hAnsi="Arial" w:cs="Arial"/>
          <w:sz w:val="22"/>
          <w:szCs w:val="22"/>
        </w:rPr>
        <w:t xml:space="preserve"> gap</w:t>
      </w:r>
      <w:r w:rsidR="006A529B" w:rsidRPr="0032027A">
        <w:rPr>
          <w:rFonts w:ascii="Arial" w:hAnsi="Arial" w:cs="Arial"/>
          <w:sz w:val="22"/>
          <w:szCs w:val="22"/>
        </w:rPr>
        <w:t xml:space="preserve">, action </w:t>
      </w:r>
      <w:r w:rsidRPr="0032027A">
        <w:rPr>
          <w:rFonts w:ascii="Arial" w:hAnsi="Arial" w:cs="Arial"/>
          <w:sz w:val="22"/>
          <w:szCs w:val="22"/>
        </w:rPr>
        <w:t xml:space="preserve">is </w:t>
      </w:r>
      <w:r w:rsidR="006A529B" w:rsidRPr="0032027A">
        <w:rPr>
          <w:rFonts w:ascii="Arial" w:hAnsi="Arial" w:cs="Arial"/>
          <w:sz w:val="22"/>
          <w:szCs w:val="22"/>
        </w:rPr>
        <w:t>be</w:t>
      </w:r>
      <w:r w:rsidRPr="0032027A">
        <w:rPr>
          <w:rFonts w:ascii="Arial" w:hAnsi="Arial" w:cs="Arial"/>
          <w:sz w:val="22"/>
          <w:szCs w:val="22"/>
        </w:rPr>
        <w:t>ing</w:t>
      </w:r>
      <w:r w:rsidR="006A529B" w:rsidRPr="0032027A">
        <w:rPr>
          <w:rFonts w:ascii="Arial" w:hAnsi="Arial" w:cs="Arial"/>
          <w:sz w:val="22"/>
          <w:szCs w:val="22"/>
        </w:rPr>
        <w:t xml:space="preserve"> taken to manage the exploration-urban interface across the state</w:t>
      </w:r>
      <w:r w:rsidRPr="0032027A">
        <w:rPr>
          <w:rFonts w:ascii="Arial" w:hAnsi="Arial" w:cs="Arial"/>
          <w:sz w:val="22"/>
          <w:szCs w:val="22"/>
        </w:rPr>
        <w:t xml:space="preserve">.  This will involve the development of </w:t>
      </w:r>
      <w:r w:rsidR="0067127D" w:rsidRPr="0032027A">
        <w:rPr>
          <w:rFonts w:ascii="Arial" w:hAnsi="Arial" w:cs="Arial"/>
          <w:sz w:val="22"/>
          <w:szCs w:val="22"/>
        </w:rPr>
        <w:t xml:space="preserve">a </w:t>
      </w:r>
      <w:r w:rsidRPr="0032027A">
        <w:rPr>
          <w:rFonts w:ascii="Arial" w:hAnsi="Arial" w:cs="Arial"/>
          <w:sz w:val="22"/>
          <w:szCs w:val="22"/>
        </w:rPr>
        <w:t>permanent legislative solution that will be introduced to Parliament in late 2</w:t>
      </w:r>
      <w:r w:rsidR="006A529B" w:rsidRPr="0032027A">
        <w:rPr>
          <w:rFonts w:ascii="Arial" w:hAnsi="Arial" w:cs="Arial"/>
          <w:sz w:val="22"/>
          <w:szCs w:val="22"/>
        </w:rPr>
        <w:t>011</w:t>
      </w:r>
      <w:r w:rsidRPr="0032027A">
        <w:rPr>
          <w:rFonts w:ascii="Arial" w:hAnsi="Arial" w:cs="Arial"/>
          <w:sz w:val="22"/>
          <w:szCs w:val="22"/>
        </w:rPr>
        <w:t>, following a period of public consultation</w:t>
      </w:r>
      <w:r w:rsidR="006A529B" w:rsidRPr="0032027A">
        <w:rPr>
          <w:rFonts w:ascii="Arial" w:hAnsi="Arial" w:cs="Arial"/>
          <w:sz w:val="22"/>
          <w:szCs w:val="22"/>
        </w:rPr>
        <w:t>.</w:t>
      </w:r>
    </w:p>
    <w:p w:rsidR="00ED4A3B" w:rsidRPr="0032027A" w:rsidRDefault="00D06D89" w:rsidP="005F5449">
      <w:pPr>
        <w:pStyle w:val="CLLObodytext"/>
        <w:numPr>
          <w:ilvl w:val="0"/>
          <w:numId w:val="3"/>
        </w:numPr>
        <w:spacing w:before="0" w:after="0"/>
        <w:rPr>
          <w:rFonts w:ascii="Arial" w:hAnsi="Arial" w:cs="Arial"/>
          <w:sz w:val="22"/>
          <w:szCs w:val="22"/>
        </w:rPr>
      </w:pPr>
      <w:r w:rsidRPr="0032027A">
        <w:rPr>
          <w:rFonts w:ascii="Arial" w:hAnsi="Arial" w:cs="Arial"/>
          <w:sz w:val="22"/>
          <w:szCs w:val="22"/>
          <w:u w:val="single"/>
        </w:rPr>
        <w:t>Cabinet approved</w:t>
      </w:r>
      <w:r w:rsidRPr="0032027A">
        <w:rPr>
          <w:rFonts w:ascii="Arial" w:hAnsi="Arial" w:cs="Arial"/>
          <w:sz w:val="22"/>
          <w:szCs w:val="22"/>
        </w:rPr>
        <w:t xml:space="preserve"> that from 16 August 2011 no new exploration applications (except for industrial minerals used in the building industry) will be accepted over </w:t>
      </w:r>
      <w:r w:rsidR="00B0512F" w:rsidRPr="0032027A">
        <w:rPr>
          <w:rFonts w:ascii="Arial" w:hAnsi="Arial" w:cs="Arial"/>
          <w:sz w:val="22"/>
          <w:szCs w:val="22"/>
        </w:rPr>
        <w:t xml:space="preserve">South East Queensland </w:t>
      </w:r>
      <w:r w:rsidRPr="0032027A">
        <w:rPr>
          <w:rFonts w:ascii="Arial" w:hAnsi="Arial" w:cs="Arial"/>
          <w:sz w:val="22"/>
          <w:szCs w:val="22"/>
        </w:rPr>
        <w:t xml:space="preserve">and </w:t>
      </w:r>
      <w:r w:rsidR="00B0512F" w:rsidRPr="0032027A">
        <w:rPr>
          <w:rFonts w:ascii="Arial" w:hAnsi="Arial" w:cs="Arial"/>
          <w:sz w:val="22"/>
          <w:szCs w:val="22"/>
        </w:rPr>
        <w:t xml:space="preserve">over and </w:t>
      </w:r>
      <w:r w:rsidRPr="0032027A">
        <w:rPr>
          <w:rFonts w:ascii="Arial" w:hAnsi="Arial" w:cs="Arial"/>
          <w:sz w:val="22"/>
          <w:szCs w:val="22"/>
        </w:rPr>
        <w:t>around urban areas</w:t>
      </w:r>
      <w:r w:rsidR="00B0512F" w:rsidRPr="0032027A">
        <w:rPr>
          <w:rFonts w:ascii="Arial" w:hAnsi="Arial" w:cs="Arial"/>
          <w:sz w:val="22"/>
          <w:szCs w:val="22"/>
        </w:rPr>
        <w:t xml:space="preserve"> throughout the State</w:t>
      </w:r>
      <w:r w:rsidRPr="0032027A">
        <w:rPr>
          <w:rFonts w:ascii="Arial" w:hAnsi="Arial" w:cs="Arial"/>
          <w:sz w:val="22"/>
          <w:szCs w:val="22"/>
        </w:rPr>
        <w:t xml:space="preserve">.  </w:t>
      </w:r>
      <w:r w:rsidR="00ED4A3B" w:rsidRPr="0032027A">
        <w:rPr>
          <w:rFonts w:ascii="Arial" w:hAnsi="Arial" w:cs="Arial"/>
          <w:sz w:val="22"/>
          <w:szCs w:val="22"/>
        </w:rPr>
        <w:t xml:space="preserve">Local Governments </w:t>
      </w:r>
      <w:r w:rsidR="00255709">
        <w:rPr>
          <w:rFonts w:ascii="Arial" w:hAnsi="Arial" w:cs="Arial"/>
          <w:sz w:val="22"/>
          <w:szCs w:val="22"/>
        </w:rPr>
        <w:t>was</w:t>
      </w:r>
      <w:r w:rsidR="00ED4A3B" w:rsidRPr="0032027A">
        <w:rPr>
          <w:rFonts w:ascii="Arial" w:hAnsi="Arial" w:cs="Arial"/>
          <w:sz w:val="22"/>
          <w:szCs w:val="22"/>
        </w:rPr>
        <w:t xml:space="preserve"> given until 16 September 2011 to apply to the Minister to opt </w:t>
      </w:r>
      <w:r w:rsidR="00B0512F" w:rsidRPr="0032027A">
        <w:rPr>
          <w:rFonts w:ascii="Arial" w:hAnsi="Arial" w:cs="Arial"/>
          <w:sz w:val="22"/>
          <w:szCs w:val="22"/>
        </w:rPr>
        <w:t xml:space="preserve">towns into or </w:t>
      </w:r>
      <w:r w:rsidR="00ED4A3B" w:rsidRPr="0032027A">
        <w:rPr>
          <w:rFonts w:ascii="Arial" w:hAnsi="Arial" w:cs="Arial"/>
          <w:sz w:val="22"/>
          <w:szCs w:val="22"/>
        </w:rPr>
        <w:t>out of the restrictions for their respective local government area.</w:t>
      </w:r>
    </w:p>
    <w:p w:rsidR="00AD1222" w:rsidRPr="0032027A" w:rsidRDefault="00AD1222" w:rsidP="00AD1222">
      <w:pPr>
        <w:pStyle w:val="CLLObodytext"/>
        <w:numPr>
          <w:ilvl w:val="0"/>
          <w:numId w:val="3"/>
        </w:numPr>
        <w:spacing w:before="240" w:after="0"/>
        <w:rPr>
          <w:rFonts w:ascii="Arial" w:hAnsi="Arial" w:cs="Arial"/>
          <w:sz w:val="22"/>
          <w:szCs w:val="22"/>
        </w:rPr>
      </w:pPr>
      <w:r w:rsidRPr="0032027A">
        <w:rPr>
          <w:rFonts w:ascii="Arial" w:hAnsi="Arial" w:cs="Arial"/>
          <w:sz w:val="22"/>
          <w:szCs w:val="22"/>
          <w:u w:val="single"/>
        </w:rPr>
        <w:t>Cabinet approved</w:t>
      </w:r>
      <w:r w:rsidRPr="0032027A">
        <w:rPr>
          <w:rFonts w:ascii="Arial" w:hAnsi="Arial" w:cs="Arial"/>
          <w:sz w:val="22"/>
          <w:szCs w:val="22"/>
        </w:rPr>
        <w:t xml:space="preserve"> the preparation of legislative amendments to prevent existing exploration tenure holders from undertaking exploration activities in and around urban areas across the State.</w:t>
      </w:r>
    </w:p>
    <w:p w:rsidR="00AD1222" w:rsidRPr="0032027A" w:rsidRDefault="005F5449" w:rsidP="005F5449">
      <w:pPr>
        <w:pStyle w:val="CLLObodytext"/>
        <w:numPr>
          <w:ilvl w:val="0"/>
          <w:numId w:val="3"/>
        </w:numPr>
        <w:spacing w:before="240" w:after="0"/>
        <w:rPr>
          <w:rFonts w:ascii="Arial" w:hAnsi="Arial" w:cs="Arial"/>
          <w:sz w:val="22"/>
          <w:szCs w:val="22"/>
        </w:rPr>
      </w:pPr>
      <w:r w:rsidRPr="0032027A">
        <w:rPr>
          <w:rFonts w:ascii="Arial" w:hAnsi="Arial" w:cs="Arial"/>
          <w:sz w:val="22"/>
          <w:szCs w:val="22"/>
          <w:u w:val="single"/>
        </w:rPr>
        <w:t>Cabinet approved</w:t>
      </w:r>
      <w:r w:rsidRPr="0032027A">
        <w:rPr>
          <w:rFonts w:ascii="Arial" w:hAnsi="Arial" w:cs="Arial"/>
          <w:sz w:val="22"/>
          <w:szCs w:val="22"/>
        </w:rPr>
        <w:t xml:space="preserve"> a period of public consultation to identify issues and explore options to address exploration-urban interface challenges.  </w:t>
      </w:r>
    </w:p>
    <w:p w:rsidR="00ED55F5" w:rsidRPr="00F265E4" w:rsidRDefault="00ED55F5" w:rsidP="00F265E4">
      <w:pPr>
        <w:pStyle w:val="CLLObodytext"/>
        <w:numPr>
          <w:ilvl w:val="0"/>
          <w:numId w:val="3"/>
        </w:numPr>
        <w:spacing w:before="360" w:after="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32027A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D55F5" w:rsidRPr="0032027A" w:rsidRDefault="00950534" w:rsidP="00F265E4">
      <w:pPr>
        <w:pStyle w:val="CLLObodytext"/>
        <w:numPr>
          <w:ilvl w:val="0"/>
          <w:numId w:val="6"/>
        </w:numPr>
        <w:tabs>
          <w:tab w:val="clear" w:pos="360"/>
          <w:tab w:val="num" w:pos="900"/>
        </w:tabs>
        <w:spacing w:after="0"/>
        <w:ind w:left="896" w:hanging="539"/>
        <w:rPr>
          <w:rFonts w:ascii="Arial" w:hAnsi="Arial" w:cs="Arial"/>
          <w:sz w:val="22"/>
          <w:szCs w:val="22"/>
        </w:rPr>
      </w:pPr>
      <w:hyperlink r:id="rId7" w:history="1">
        <w:r w:rsidR="000E279C" w:rsidRPr="00D15081">
          <w:rPr>
            <w:rStyle w:val="Hyperlink"/>
            <w:rFonts w:ascii="Arial" w:hAnsi="Arial" w:cs="Arial"/>
            <w:sz w:val="22"/>
            <w:szCs w:val="22"/>
          </w:rPr>
          <w:t>Consultation paper on exploration and urban living: striking the balance</w:t>
        </w:r>
      </w:hyperlink>
    </w:p>
    <w:p w:rsidR="0065026F" w:rsidRPr="0032027A" w:rsidRDefault="0065026F" w:rsidP="0065026F">
      <w:pPr>
        <w:jc w:val="both"/>
        <w:rPr>
          <w:rFonts w:ascii="Arial" w:hAnsi="Arial" w:cs="Arial"/>
          <w:sz w:val="22"/>
          <w:szCs w:val="22"/>
        </w:rPr>
      </w:pPr>
    </w:p>
    <w:p w:rsidR="006C4EAF" w:rsidRPr="0032027A" w:rsidRDefault="006C4EAF">
      <w:pPr>
        <w:rPr>
          <w:sz w:val="22"/>
          <w:szCs w:val="22"/>
        </w:rPr>
      </w:pPr>
    </w:p>
    <w:sectPr w:rsidR="006C4EAF" w:rsidRPr="0032027A" w:rsidSect="00EF60AA">
      <w:headerReference w:type="default" r:id="rId8"/>
      <w:footerReference w:type="default" r:id="rId9"/>
      <w:headerReference w:type="first" r:id="rId10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9C" w:rsidRDefault="0076499C">
      <w:r>
        <w:separator/>
      </w:r>
    </w:p>
  </w:endnote>
  <w:endnote w:type="continuationSeparator" w:id="0">
    <w:p w:rsidR="0076499C" w:rsidRDefault="0076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09" w:rsidRPr="001141E1" w:rsidRDefault="00255709" w:rsidP="0065026F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9C" w:rsidRDefault="0076499C">
      <w:r>
        <w:separator/>
      </w:r>
    </w:p>
  </w:footnote>
  <w:footnote w:type="continuationSeparator" w:id="0">
    <w:p w:rsidR="0076499C" w:rsidRDefault="00764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09" w:rsidRPr="000400F9" w:rsidRDefault="009D48C9" w:rsidP="0065026F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70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255709">
      <w:rPr>
        <w:rFonts w:ascii="Arial" w:hAnsi="Arial" w:cs="Arial"/>
        <w:b/>
        <w:sz w:val="22"/>
        <w:szCs w:val="22"/>
        <w:u w:val="single"/>
      </w:rPr>
      <w:t>month year</w:t>
    </w:r>
  </w:p>
  <w:p w:rsidR="00255709" w:rsidRDefault="00255709" w:rsidP="0065026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255709" w:rsidRDefault="00255709" w:rsidP="0065026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255709" w:rsidRPr="00F10DF9" w:rsidRDefault="00255709" w:rsidP="0065026F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09" w:rsidRPr="000400F9" w:rsidRDefault="009D48C9" w:rsidP="0065026F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70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255709">
      <w:rPr>
        <w:rFonts w:ascii="Arial" w:hAnsi="Arial" w:cs="Arial"/>
        <w:b/>
        <w:sz w:val="22"/>
        <w:szCs w:val="22"/>
        <w:u w:val="single"/>
      </w:rPr>
      <w:t>August 2011</w:t>
    </w:r>
  </w:p>
  <w:p w:rsidR="00255709" w:rsidRDefault="00255709" w:rsidP="0065026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Mineral exploration in close proximity to urban areas</w:t>
    </w:r>
  </w:p>
  <w:p w:rsidR="00255709" w:rsidRDefault="00255709" w:rsidP="0065026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Employment, Skills and Mining </w:t>
    </w:r>
  </w:p>
  <w:p w:rsidR="00255709" w:rsidRPr="00F10DF9" w:rsidRDefault="00255709" w:rsidP="0065026F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84F4D"/>
    <w:multiLevelType w:val="multilevel"/>
    <w:tmpl w:val="A0488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8E3639"/>
    <w:multiLevelType w:val="hybridMultilevel"/>
    <w:tmpl w:val="20BC1880"/>
    <w:lvl w:ilvl="0" w:tplc="04966906">
      <w:start w:val="1"/>
      <w:numFmt w:val="decimal"/>
      <w:pStyle w:val="CLLOparanumber"/>
      <w:lvlText w:val="%1."/>
      <w:lvlJc w:val="left"/>
      <w:pPr>
        <w:tabs>
          <w:tab w:val="num" w:pos="12693"/>
        </w:tabs>
        <w:ind w:left="12693" w:hanging="360"/>
      </w:pPr>
    </w:lvl>
    <w:lvl w:ilvl="1" w:tplc="0C09000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2" w:tplc="4880DE6E">
      <w:start w:val="1"/>
      <w:numFmt w:val="lowerRoman"/>
      <w:lvlText w:val="(%3)"/>
      <w:lvlJc w:val="left"/>
      <w:pPr>
        <w:tabs>
          <w:tab w:val="num" w:pos="6309"/>
        </w:tabs>
        <w:ind w:left="6309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</w:lvl>
  </w:abstractNum>
  <w:abstractNum w:abstractNumId="2" w15:restartNumberingAfterBreak="0">
    <w:nsid w:val="5288741E"/>
    <w:multiLevelType w:val="hybridMultilevel"/>
    <w:tmpl w:val="C48A90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511E4"/>
    <w:multiLevelType w:val="hybridMultilevel"/>
    <w:tmpl w:val="A0488A8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EB2CA2"/>
    <w:multiLevelType w:val="hybridMultilevel"/>
    <w:tmpl w:val="1DCC840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F"/>
    <w:rsid w:val="00010C8E"/>
    <w:rsid w:val="0001240C"/>
    <w:rsid w:val="0003217C"/>
    <w:rsid w:val="000A2946"/>
    <w:rsid w:val="000D490D"/>
    <w:rsid w:val="000D4CD5"/>
    <w:rsid w:val="000E279C"/>
    <w:rsid w:val="00121FDE"/>
    <w:rsid w:val="001429B4"/>
    <w:rsid w:val="00157AEF"/>
    <w:rsid w:val="001F6D02"/>
    <w:rsid w:val="00255709"/>
    <w:rsid w:val="002B74F0"/>
    <w:rsid w:val="0032027A"/>
    <w:rsid w:val="0034670E"/>
    <w:rsid w:val="00427B34"/>
    <w:rsid w:val="0047082E"/>
    <w:rsid w:val="00470F79"/>
    <w:rsid w:val="004750BA"/>
    <w:rsid w:val="0048313C"/>
    <w:rsid w:val="004F4379"/>
    <w:rsid w:val="005F140E"/>
    <w:rsid w:val="005F5449"/>
    <w:rsid w:val="006334D5"/>
    <w:rsid w:val="0065026F"/>
    <w:rsid w:val="0067127D"/>
    <w:rsid w:val="00693AAF"/>
    <w:rsid w:val="006A529B"/>
    <w:rsid w:val="006C4EAF"/>
    <w:rsid w:val="006E3876"/>
    <w:rsid w:val="006F739E"/>
    <w:rsid w:val="0076499C"/>
    <w:rsid w:val="00792DBC"/>
    <w:rsid w:val="008B58D7"/>
    <w:rsid w:val="00950534"/>
    <w:rsid w:val="009B2F67"/>
    <w:rsid w:val="009D48C9"/>
    <w:rsid w:val="009E1DD2"/>
    <w:rsid w:val="00AD1222"/>
    <w:rsid w:val="00B0512F"/>
    <w:rsid w:val="00B968F4"/>
    <w:rsid w:val="00C067A2"/>
    <w:rsid w:val="00C33DE4"/>
    <w:rsid w:val="00C7539B"/>
    <w:rsid w:val="00C928E8"/>
    <w:rsid w:val="00D06D89"/>
    <w:rsid w:val="00D15081"/>
    <w:rsid w:val="00D907B5"/>
    <w:rsid w:val="00D91D36"/>
    <w:rsid w:val="00DD4B06"/>
    <w:rsid w:val="00E33F50"/>
    <w:rsid w:val="00ED4A3B"/>
    <w:rsid w:val="00ED55F5"/>
    <w:rsid w:val="00EE7B3A"/>
    <w:rsid w:val="00EF60AA"/>
    <w:rsid w:val="00F265E4"/>
    <w:rsid w:val="00FA6352"/>
    <w:rsid w:val="00FE14F1"/>
    <w:rsid w:val="00FE378F"/>
    <w:rsid w:val="00FE48FF"/>
    <w:rsid w:val="00FE4DE7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F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26F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65026F"/>
    <w:pPr>
      <w:tabs>
        <w:tab w:val="center" w:pos="4153"/>
        <w:tab w:val="right" w:pos="8306"/>
      </w:tabs>
    </w:pPr>
  </w:style>
  <w:style w:type="paragraph" w:customStyle="1" w:styleId="CLLObodytext">
    <w:name w:val="CLLO body text"/>
    <w:basedOn w:val="Normal"/>
    <w:rsid w:val="005F5449"/>
    <w:pPr>
      <w:widowControl w:val="0"/>
      <w:autoSpaceDE w:val="0"/>
      <w:autoSpaceDN w:val="0"/>
      <w:spacing w:before="120" w:after="120"/>
      <w:jc w:val="both"/>
    </w:pPr>
    <w:rPr>
      <w:color w:val="auto"/>
      <w:szCs w:val="24"/>
      <w:lang w:eastAsia="en-US"/>
    </w:rPr>
  </w:style>
  <w:style w:type="paragraph" w:styleId="BalloonText">
    <w:name w:val="Balloon Text"/>
    <w:basedOn w:val="Normal"/>
    <w:semiHidden/>
    <w:rsid w:val="00ED55F5"/>
    <w:rPr>
      <w:rFonts w:ascii="Tahoma" w:hAnsi="Tahoma" w:cs="Tahoma"/>
      <w:sz w:val="16"/>
      <w:szCs w:val="16"/>
    </w:rPr>
  </w:style>
  <w:style w:type="paragraph" w:customStyle="1" w:styleId="CLLOparanumber">
    <w:name w:val="CLLO para number"/>
    <w:basedOn w:val="Normal"/>
    <w:rsid w:val="006A529B"/>
    <w:pPr>
      <w:widowControl w:val="0"/>
      <w:numPr>
        <w:numId w:val="7"/>
      </w:numPr>
      <w:autoSpaceDE w:val="0"/>
      <w:autoSpaceDN w:val="0"/>
      <w:spacing w:before="120" w:after="120"/>
      <w:jc w:val="both"/>
    </w:pPr>
    <w:rPr>
      <w:color w:val="auto"/>
      <w:szCs w:val="24"/>
      <w:lang w:eastAsia="en-US"/>
    </w:rPr>
  </w:style>
  <w:style w:type="character" w:styleId="Hyperlink">
    <w:name w:val="Hyperlink"/>
    <w:basedOn w:val="DefaultParagraphFont"/>
    <w:rsid w:val="00D15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Att%201%20-%20Mineral%20exploration%20in%20close%20proximity%20to%20urban%20area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1422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Base>https://www.cabinet.qld.gov.au/documents/2011/Aug/Min expl close urban/</HyperlinkBase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Attachments/Att 1 - Mineral exploration in close proximity to urban areas.PDF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2011-10-25T09:07:00Z</cp:lastPrinted>
  <dcterms:created xsi:type="dcterms:W3CDTF">2017-10-24T23:05:00Z</dcterms:created>
  <dcterms:modified xsi:type="dcterms:W3CDTF">2018-03-06T01:07:00Z</dcterms:modified>
  <cp:category>Mining,Planning</cp:category>
</cp:coreProperties>
</file>